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Compte rendu de l’atelier du Canal</w:t>
      </w:r>
    </w:p>
    <w:p>
      <w:r>
        <w:t>Les Voisins du Canal. Démonstration fictive Ouvrali</w:t>
      </w:r>
    </w:p>
    <w:p>
      <w:r>
        <w:t>Ce compte rendu rassemble les décisions confirmées et les points à résoudre pour préparer l’atelier. La salle du Canal reste à confirmer avant le 18 novembre.</w:t>
      </w:r>
    </w:p>
    <w:p>
      <w:pPr>
        <w:pStyle w:val="Heading1"/>
      </w:pPr>
      <w:r>
        <w:t>Décisions confirmées</w:t>
      </w:r>
    </w:p>
    <w:p>
      <w:pPr>
        <w:pStyle w:val="ListBullet"/>
      </w:pPr>
      <w:r>
        <w:t>Atelier de réparation de petits objets prévu le samedi 21 novembre 2026, de 14 h à 16 h, heure de Paris.</w:t>
      </w:r>
    </w:p>
    <w:p>
      <w:pPr>
        <w:pStyle w:val="ListBullet"/>
      </w:pPr>
      <w:r>
        <w:t>Plafond budgétaire confirmé : 600 €. Ce montant est un plafond, pas une dépense engagée.</w:t>
      </w:r>
    </w:p>
    <w:p>
      <w:pPr>
        <w:pStyle w:val="ListBullet"/>
      </w:pPr>
      <w:r>
        <w:t>Participation gratuite. Inscription par réponse au message d’invitation.</w:t>
      </w:r>
    </w:p>
    <w:p>
      <w:pPr>
        <w:pStyle w:val="Heading1"/>
      </w:pPr>
      <w:r>
        <w:t>Points ouverts et prochaines étapes</w:t>
      </w:r>
    </w:p>
    <w:p>
      <w:r>
        <w:rPr>
          <w:b/>
        </w:rPr>
        <w:t xml:space="preserve">Confirmer l’accès à la salle du Canal : avant le 18 novembre. </w:t>
      </w:r>
      <w:r>
        <w:t>Information à obtenir : Horaires d’accès et accord de réservation.</w:t>
      </w:r>
    </w:p>
    <w:p>
      <w:r>
        <w:rPr>
          <w:b/>
        </w:rPr>
        <w:t xml:space="preserve">Relire les dépenses : 19 novembre 2026. </w:t>
      </w:r>
      <w:r>
        <w:t>Information à obtenir : Prix des fournitures.</w:t>
      </w:r>
    </w:p>
    <w:p>
      <w:r>
        <w:rPr>
          <w:b/>
        </w:rPr>
        <w:t xml:space="preserve">Choisir le programme : 20 novembre 2026. </w:t>
      </w:r>
      <w:r>
        <w:t>Information à obtenir : Décision de la responsable.</w:t>
      </w:r>
    </w:p>
    <w:p>
      <w:r>
        <w:t>La confirmation de la salle porte sur l’accès, les horaires et l’accord de réservation. Les prix des fournitures et le programme restent à déterminer.</w:t>
      </w:r>
    </w:p>
    <w:p>
      <w:pPr>
        <w:pStyle w:val="Heading1"/>
      </w:pPr>
      <w:r>
        <w:t>Sources et portée</w:t>
      </w:r>
    </w:p>
    <w:p>
      <w:r>
        <w:t>Sources lues : Fiche atelier.md et Suivi.md (repères mis à jour le 5 octobre 2026). Pour la salle, la formulation « avant le 18 novembre » est retenue dans tous les livrables.</w:t>
      </w:r>
    </w:p>
    <w:p>
      <w:r>
        <w:t>Exemple fictif. Aucune réservation, dépense, publication ou invitation réelle n’a été effectuée.</w:t>
      </w:r>
    </w:p>
    <w:sectPr w:rsidR="00FC693F" w:rsidRPr="0006063C" w:rsidSect="00034616"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